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80" w:rsidRPr="00104680" w:rsidRDefault="00104680" w:rsidP="00104680">
      <w:pPr>
        <w:spacing w:before="45" w:after="90" w:line="240" w:lineRule="auto"/>
        <w:outlineLvl w:val="0"/>
        <w:rPr>
          <w:rFonts w:ascii="Georgia" w:eastAsia="Times New Roman" w:hAnsi="Georgia" w:cs="Times New Roman"/>
          <w:b/>
          <w:bCs/>
          <w:color w:val="242B30"/>
          <w:spacing w:val="-8"/>
          <w:kern w:val="36"/>
          <w:sz w:val="51"/>
          <w:szCs w:val="51"/>
        </w:rPr>
      </w:pPr>
      <w:r w:rsidRPr="00104680">
        <w:rPr>
          <w:rFonts w:ascii="Georgia" w:eastAsia="Times New Roman" w:hAnsi="Georgia" w:cs="Times New Roman"/>
          <w:b/>
          <w:bCs/>
          <w:color w:val="242B30"/>
          <w:spacing w:val="-8"/>
          <w:kern w:val="36"/>
          <w:sz w:val="51"/>
          <w:szCs w:val="51"/>
        </w:rPr>
        <w:t>Poor Kids Are Starving for Words</w:t>
      </w:r>
    </w:p>
    <w:p w:rsidR="00104680" w:rsidRPr="00104680" w:rsidRDefault="00104680" w:rsidP="00104680">
      <w:pPr>
        <w:spacing w:after="0" w:line="288" w:lineRule="atLeast"/>
        <w:rPr>
          <w:rFonts w:ascii="Helvetica" w:eastAsia="Times New Roman" w:hAnsi="Helvetica" w:cs="Times New Roman"/>
          <w:spacing w:val="-2"/>
          <w:sz w:val="23"/>
          <w:szCs w:val="23"/>
        </w:rPr>
      </w:pPr>
      <w:r w:rsidRPr="00104680">
        <w:rPr>
          <w:rFonts w:ascii="Helvetica" w:eastAsia="Times New Roman" w:hAnsi="Helvetica" w:cs="Times New Roman"/>
          <w:spacing w:val="-2"/>
          <w:sz w:val="23"/>
          <w:szCs w:val="23"/>
        </w:rPr>
        <w:t>According to a new initiative, launched at the White House on Thursday, the "word gap" that afflicts low-income children needs to be addressed with the same passion as child hunger.</w:t>
      </w:r>
    </w:p>
    <w:p w:rsidR="00104680" w:rsidRPr="00104680" w:rsidRDefault="00104680" w:rsidP="00104680">
      <w:pPr>
        <w:spacing w:line="240" w:lineRule="auto"/>
        <w:rPr>
          <w:rFonts w:ascii="Times New Roman" w:eastAsia="Times New Roman" w:hAnsi="Times New Roman" w:cs="Times New Roman"/>
          <w:sz w:val="24"/>
          <w:szCs w:val="24"/>
        </w:rPr>
      </w:pPr>
      <w:hyperlink r:id="rId6" w:history="1">
        <w:r w:rsidRPr="00104680">
          <w:rPr>
            <w:rFonts w:ascii="Helvetica" w:eastAsia="Times New Roman" w:hAnsi="Helvetica" w:cs="Times New Roman"/>
            <w:caps/>
            <w:color w:val="666666"/>
            <w:spacing w:val="8"/>
            <w:sz w:val="17"/>
            <w:szCs w:val="17"/>
          </w:rPr>
          <w:t>JESSICA LAHEY</w:t>
        </w:r>
      </w:hyperlink>
      <w:r w:rsidRPr="00104680">
        <w:rPr>
          <w:rFonts w:ascii="Helvetica" w:eastAsia="Times New Roman" w:hAnsi="Helvetica" w:cs="Times New Roman"/>
          <w:caps/>
          <w:color w:val="666666"/>
          <w:spacing w:val="8"/>
          <w:sz w:val="17"/>
          <w:szCs w:val="17"/>
        </w:rPr>
        <w:t>OCT 16 2014, 1:37 PM ET</w:t>
      </w:r>
    </w:p>
    <w:p w:rsidR="00104680" w:rsidRPr="00104680" w:rsidRDefault="00104680" w:rsidP="00104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1155" cy="3616325"/>
            <wp:effectExtent l="0" t="0" r="0" b="3175"/>
            <wp:docPr id="2" name="Picture 2" descr="http://cdn.theatlantic.com/static/newsroom/img/mt/2014/10/14151710281_efb4e43f86_k/lead.jpg?ndjt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static/newsroom/img/mt/2014/10/14151710281_efb4e43f86_k/lead.jpg?ndjtz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155" cy="3616325"/>
                    </a:xfrm>
                    <a:prstGeom prst="rect">
                      <a:avLst/>
                    </a:prstGeom>
                    <a:noFill/>
                    <a:ln>
                      <a:noFill/>
                    </a:ln>
                  </pic:spPr>
                </pic:pic>
              </a:graphicData>
            </a:graphic>
          </wp:inline>
        </w:drawing>
      </w:r>
    </w:p>
    <w:p w:rsidR="00104680" w:rsidRPr="00104680" w:rsidRDefault="00104680" w:rsidP="00104680">
      <w:pPr>
        <w:shd w:val="clear" w:color="auto" w:fill="FFFFFF"/>
        <w:spacing w:after="0" w:line="180" w:lineRule="atLeast"/>
        <w:jc w:val="right"/>
        <w:rPr>
          <w:rFonts w:ascii="Arial" w:eastAsia="Times New Roman" w:hAnsi="Arial" w:cs="Arial"/>
          <w:color w:val="242B30"/>
          <w:sz w:val="15"/>
          <w:szCs w:val="15"/>
        </w:rPr>
      </w:pPr>
      <w:r w:rsidRPr="00104680">
        <w:rPr>
          <w:rFonts w:ascii="Arial" w:eastAsia="Times New Roman" w:hAnsi="Arial" w:cs="Arial"/>
          <w:color w:val="242B30"/>
          <w:sz w:val="15"/>
          <w:szCs w:val="15"/>
        </w:rPr>
        <w:t>Susanne Nilsson/Flickr</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 xml:space="preserve">“Education,” Horace Mann declared in 1848, “is a great equalizer of the conditions of men, the balance wheel of the social machinery.” But increasingly, the condition of American children—and even their eventual role in society—is determined well before their first day of kindergarten. I’ve taught the children of wealthy, well-educated parents, and I’ve taught children </w:t>
      </w:r>
      <w:proofErr w:type="gramStart"/>
      <w:r w:rsidRPr="00104680">
        <w:rPr>
          <w:rFonts w:ascii="Times New Roman" w:eastAsia="Times New Roman" w:hAnsi="Times New Roman" w:cs="Times New Roman"/>
          <w:sz w:val="24"/>
          <w:szCs w:val="24"/>
        </w:rPr>
        <w:t>raised</w:t>
      </w:r>
      <w:proofErr w:type="gramEnd"/>
      <w:r w:rsidRPr="00104680">
        <w:rPr>
          <w:rFonts w:ascii="Times New Roman" w:eastAsia="Times New Roman" w:hAnsi="Times New Roman" w:cs="Times New Roman"/>
          <w:sz w:val="24"/>
          <w:szCs w:val="24"/>
        </w:rPr>
        <w:t xml:space="preserve"> in poverty, and in my own experience, these two populations arrive at the schoolhouse door with two very different skill sets and expectations.</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According to a 2012 </w:t>
      </w:r>
      <w:hyperlink r:id="rId8" w:history="1">
        <w:r w:rsidRPr="00104680">
          <w:rPr>
            <w:rFonts w:ascii="Times New Roman" w:eastAsia="Times New Roman" w:hAnsi="Times New Roman" w:cs="Times New Roman"/>
            <w:color w:val="00598C"/>
            <w:sz w:val="24"/>
            <w:szCs w:val="24"/>
          </w:rPr>
          <w:t>report</w:t>
        </w:r>
      </w:hyperlink>
      <w:r w:rsidRPr="00104680">
        <w:rPr>
          <w:rFonts w:ascii="Times New Roman" w:eastAsia="Times New Roman" w:hAnsi="Times New Roman" w:cs="Times New Roman"/>
          <w:sz w:val="24"/>
          <w:szCs w:val="24"/>
        </w:rPr>
        <w:t> by the Brookings Institution, less than half of poor children show up to school prepared with the early math and reading skills, emotional and behavioral control, and physical well-being needed to be ready to learn, and that disadvantage persists into adulthood. The report continues, “</w:t>
      </w:r>
      <w:proofErr w:type="gramStart"/>
      <w:r w:rsidRPr="00104680">
        <w:rPr>
          <w:rFonts w:ascii="Times New Roman" w:eastAsia="Times New Roman" w:hAnsi="Times New Roman" w:cs="Times New Roman"/>
          <w:sz w:val="24"/>
          <w:szCs w:val="24"/>
        </w:rPr>
        <w:t>children</w:t>
      </w:r>
      <w:proofErr w:type="gramEnd"/>
      <w:r w:rsidRPr="00104680">
        <w:rPr>
          <w:rFonts w:ascii="Times New Roman" w:eastAsia="Times New Roman" w:hAnsi="Times New Roman" w:cs="Times New Roman"/>
          <w:sz w:val="24"/>
          <w:szCs w:val="24"/>
        </w:rPr>
        <w:t xml:space="preserve"> with higher levels of school readiness at age five are generally more successful in grade school, less likely to drop out of high school, and earn more as adults, even after adjusting for differences in family background.”</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Much of this disadvantage has been attributed to what researchers call the “word gap.” Higher-income parents spend nearly a half hour more per day engaged in direct, face-to-face, </w:t>
      </w:r>
      <w:hyperlink r:id="rId9" w:history="1">
        <w:r w:rsidRPr="00104680">
          <w:rPr>
            <w:rFonts w:ascii="Times New Roman" w:eastAsia="Times New Roman" w:hAnsi="Times New Roman" w:cs="Times New Roman"/>
            <w:i/>
            <w:iCs/>
            <w:color w:val="00598C"/>
            <w:sz w:val="24"/>
            <w:szCs w:val="24"/>
          </w:rPr>
          <w:t>Goodnight Moon</w:t>
        </w:r>
        <w:r w:rsidRPr="00104680">
          <w:rPr>
            <w:rFonts w:ascii="Times New Roman" w:eastAsia="Times New Roman" w:hAnsi="Times New Roman" w:cs="Times New Roman"/>
            <w:color w:val="00598C"/>
            <w:sz w:val="24"/>
            <w:szCs w:val="24"/>
          </w:rPr>
          <w:t> time</w:t>
        </w:r>
      </w:hyperlink>
      <w:r w:rsidRPr="00104680">
        <w:rPr>
          <w:rFonts w:ascii="Times New Roman" w:eastAsia="Times New Roman" w:hAnsi="Times New Roman" w:cs="Times New Roman"/>
          <w:sz w:val="24"/>
          <w:szCs w:val="24"/>
        </w:rPr>
        <w:t xml:space="preserve"> with their children than low-income parents do, and by the time these children are 5 years old, the poor ones will have heard 30 million fewer words than their wealthy peers. Nearly </w:t>
      </w:r>
      <w:r w:rsidRPr="00104680">
        <w:rPr>
          <w:rFonts w:ascii="Times New Roman" w:eastAsia="Times New Roman" w:hAnsi="Times New Roman" w:cs="Times New Roman"/>
          <w:sz w:val="24"/>
          <w:szCs w:val="24"/>
        </w:rPr>
        <w:lastRenderedPageBreak/>
        <w:t>all of my more affluent students read in their leisure time, but approximately two out of every 10 of my poor students tell me, “I don’t read” when I offer to help them pick out an independent reading book.</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Because the word gap first appears during periods of critical neurological and cognitive development, its effects cannot be easily remedied by later interventions. Teachers, standards, technology, even those hallowed halls of ivy—none of this matters as much to a child’s educational and economic future than an informed and empowered parent.</w:t>
      </w:r>
    </w:p>
    <w:p w:rsidR="00104680" w:rsidRPr="00104680" w:rsidRDefault="00104680" w:rsidP="00104680">
      <w:pPr>
        <w:spacing w:after="0"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Poverty of vocabulary should be discussed with the same passion as child hunger.</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Unfortunately, explained </w:t>
      </w:r>
      <w:hyperlink r:id="rId10" w:history="1">
        <w:r w:rsidRPr="00104680">
          <w:rPr>
            <w:rFonts w:ascii="Times New Roman" w:eastAsia="Times New Roman" w:hAnsi="Times New Roman" w:cs="Times New Roman"/>
            <w:color w:val="00598C"/>
            <w:sz w:val="24"/>
            <w:szCs w:val="24"/>
          </w:rPr>
          <w:t>Ann O’Leary</w:t>
        </w:r>
      </w:hyperlink>
      <w:r w:rsidRPr="00104680">
        <w:rPr>
          <w:rFonts w:ascii="Times New Roman" w:eastAsia="Times New Roman" w:hAnsi="Times New Roman" w:cs="Times New Roman"/>
          <w:sz w:val="24"/>
          <w:szCs w:val="24"/>
        </w:rPr>
        <w:t>, Director of the Children &amp; Families Program at </w:t>
      </w:r>
      <w:hyperlink r:id="rId11" w:history="1">
        <w:r w:rsidRPr="00104680">
          <w:rPr>
            <w:rFonts w:ascii="Times New Roman" w:eastAsia="Times New Roman" w:hAnsi="Times New Roman" w:cs="Times New Roman"/>
            <w:color w:val="00598C"/>
            <w:sz w:val="24"/>
            <w:szCs w:val="24"/>
          </w:rPr>
          <w:t>Next Generation</w:t>
        </w:r>
      </w:hyperlink>
      <w:r w:rsidRPr="00104680">
        <w:rPr>
          <w:rFonts w:ascii="Times New Roman" w:eastAsia="Times New Roman" w:hAnsi="Times New Roman" w:cs="Times New Roman"/>
          <w:sz w:val="24"/>
          <w:szCs w:val="24"/>
        </w:rPr>
        <w:t> in a phone call, “there’s a lack of alignment among low-income parents regarding how much talking, singing, and reading to children really matters over a lifetime,” and research backs that up. One </w:t>
      </w:r>
      <w:hyperlink r:id="rId12" w:history="1">
        <w:r w:rsidRPr="00104680">
          <w:rPr>
            <w:rFonts w:ascii="Times New Roman" w:eastAsia="Times New Roman" w:hAnsi="Times New Roman" w:cs="Times New Roman"/>
            <w:color w:val="00598C"/>
            <w:sz w:val="24"/>
            <w:szCs w:val="24"/>
          </w:rPr>
          <w:t>study</w:t>
        </w:r>
      </w:hyperlink>
      <w:r w:rsidRPr="00104680">
        <w:rPr>
          <w:rFonts w:ascii="Times New Roman" w:eastAsia="Times New Roman" w:hAnsi="Times New Roman" w:cs="Times New Roman"/>
          <w:sz w:val="24"/>
          <w:szCs w:val="24"/>
        </w:rPr>
        <w:t> found that low-income parents underestimate their power to influence their children’s cognitive development, sometimes by as much as 50 percent. Wealthy parents spend more time engaged in these activities because they have better access to information, and O’Leary argued that when parents understand the impact they have on their child’s cognitive development, they invest.</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In other words, the word gap is not about access to income, but access to information. According to </w:t>
      </w:r>
      <w:hyperlink r:id="rId13" w:history="1">
        <w:r w:rsidRPr="00104680">
          <w:rPr>
            <w:rFonts w:ascii="Times New Roman" w:eastAsia="Times New Roman" w:hAnsi="Times New Roman" w:cs="Times New Roman"/>
            <w:color w:val="00598C"/>
            <w:sz w:val="24"/>
            <w:szCs w:val="24"/>
          </w:rPr>
          <w:t xml:space="preserve">Too Small to </w:t>
        </w:r>
        <w:proofErr w:type="gramStart"/>
        <w:r w:rsidRPr="00104680">
          <w:rPr>
            <w:rFonts w:ascii="Times New Roman" w:eastAsia="Times New Roman" w:hAnsi="Times New Roman" w:cs="Times New Roman"/>
            <w:color w:val="00598C"/>
            <w:sz w:val="24"/>
            <w:szCs w:val="24"/>
          </w:rPr>
          <w:t>Fail</w:t>
        </w:r>
        <w:proofErr w:type="gramEnd"/>
      </w:hyperlink>
      <w:r w:rsidRPr="00104680">
        <w:rPr>
          <w:rFonts w:ascii="Times New Roman" w:eastAsia="Times New Roman" w:hAnsi="Times New Roman" w:cs="Times New Roman"/>
          <w:sz w:val="24"/>
          <w:szCs w:val="24"/>
        </w:rPr>
        <w:t>, a partnership between the </w:t>
      </w:r>
      <w:hyperlink r:id="rId14" w:history="1">
        <w:r w:rsidRPr="00104680">
          <w:rPr>
            <w:rFonts w:ascii="Times New Roman" w:eastAsia="Times New Roman" w:hAnsi="Times New Roman" w:cs="Times New Roman"/>
            <w:color w:val="00598C"/>
            <w:sz w:val="24"/>
            <w:szCs w:val="24"/>
          </w:rPr>
          <w:t>Bill, Hillary, and Chelsea Clinton Foundation</w:t>
        </w:r>
      </w:hyperlink>
      <w:r w:rsidRPr="00104680">
        <w:rPr>
          <w:rFonts w:ascii="Times New Roman" w:eastAsia="Times New Roman" w:hAnsi="Times New Roman" w:cs="Times New Roman"/>
          <w:sz w:val="24"/>
          <w:szCs w:val="24"/>
        </w:rPr>
        <w:t> and </w:t>
      </w:r>
      <w:hyperlink r:id="rId15" w:history="1">
        <w:r w:rsidRPr="00104680">
          <w:rPr>
            <w:rFonts w:ascii="Times New Roman" w:eastAsia="Times New Roman" w:hAnsi="Times New Roman" w:cs="Times New Roman"/>
            <w:color w:val="00598C"/>
            <w:sz w:val="24"/>
            <w:szCs w:val="24"/>
          </w:rPr>
          <w:t>Next Generation</w:t>
        </w:r>
      </w:hyperlink>
      <w:r w:rsidRPr="00104680">
        <w:rPr>
          <w:rFonts w:ascii="Times New Roman" w:eastAsia="Times New Roman" w:hAnsi="Times New Roman" w:cs="Times New Roman"/>
          <w:sz w:val="24"/>
          <w:szCs w:val="24"/>
        </w:rPr>
        <w:t>, insufficient vocabulary is analogous to insufficient food.</w:t>
      </w:r>
    </w:p>
    <w:p w:rsidR="00104680" w:rsidRPr="00104680" w:rsidRDefault="00104680" w:rsidP="00104680">
      <w:pPr>
        <w:shd w:val="clear" w:color="auto" w:fill="ECF0F3"/>
        <w:spacing w:after="150" w:line="240" w:lineRule="auto"/>
        <w:rPr>
          <w:rFonts w:ascii="Times New Roman" w:eastAsia="Times New Roman" w:hAnsi="Times New Roman" w:cs="Times New Roman"/>
          <w:color w:val="333333"/>
          <w:sz w:val="24"/>
          <w:szCs w:val="24"/>
        </w:rPr>
      </w:pPr>
      <w:r w:rsidRPr="00104680">
        <w:rPr>
          <w:rFonts w:ascii="Times New Roman" w:eastAsia="Times New Roman" w:hAnsi="Times New Roman" w:cs="Times New Roman"/>
          <w:color w:val="333333"/>
          <w:sz w:val="24"/>
          <w:szCs w:val="24"/>
        </w:rPr>
        <w:t>When a child is deprived of food, there is public outrage. And this is because child hunger is correctly identified as a moral and economic issue that moves people to action. We believe that the poverty of vocabulary should be discussed with the same passion as child hunger.</w:t>
      </w:r>
    </w:p>
    <w:p w:rsidR="00104680" w:rsidRPr="00104680" w:rsidRDefault="00104680" w:rsidP="00104680">
      <w:pPr>
        <w:spacing w:before="100" w:beforeAutospacing="1" w:after="100" w:afterAutospacing="1" w:line="240" w:lineRule="auto"/>
        <w:rPr>
          <w:rFonts w:ascii="Times New Roman" w:eastAsia="Times New Roman" w:hAnsi="Times New Roman" w:cs="Times New Roman"/>
          <w:sz w:val="24"/>
          <w:szCs w:val="24"/>
        </w:rPr>
      </w:pPr>
      <w:r w:rsidRPr="00104680">
        <w:rPr>
          <w:rFonts w:ascii="Times New Roman" w:eastAsia="Times New Roman" w:hAnsi="Times New Roman" w:cs="Times New Roman"/>
          <w:sz w:val="24"/>
          <w:szCs w:val="24"/>
        </w:rPr>
        <w:t>Earlier this year, President Barack Obama challenged Americans to </w:t>
      </w:r>
      <w:hyperlink r:id="rId16" w:history="1">
        <w:r w:rsidRPr="00104680">
          <w:rPr>
            <w:rFonts w:ascii="Times New Roman" w:eastAsia="Times New Roman" w:hAnsi="Times New Roman" w:cs="Times New Roman"/>
            <w:color w:val="00598C"/>
            <w:sz w:val="24"/>
            <w:szCs w:val="24"/>
          </w:rPr>
          <w:t>bridge the word gap</w:t>
        </w:r>
      </w:hyperlink>
      <w:r w:rsidRPr="00104680">
        <w:rPr>
          <w:rFonts w:ascii="Times New Roman" w:eastAsia="Times New Roman" w:hAnsi="Times New Roman" w:cs="Times New Roman"/>
          <w:sz w:val="24"/>
          <w:szCs w:val="24"/>
        </w:rPr>
        <w:t>, and Too Small to Fail has responded by partnering with </w:t>
      </w:r>
      <w:hyperlink r:id="rId17" w:history="1">
        <w:r w:rsidRPr="00104680">
          <w:rPr>
            <w:rFonts w:ascii="Times New Roman" w:eastAsia="Times New Roman" w:hAnsi="Times New Roman" w:cs="Times New Roman"/>
            <w:color w:val="00598C"/>
            <w:sz w:val="24"/>
            <w:szCs w:val="24"/>
          </w:rPr>
          <w:t>The Urban Institute</w:t>
        </w:r>
      </w:hyperlink>
      <w:r w:rsidRPr="00104680">
        <w:rPr>
          <w:rFonts w:ascii="Times New Roman" w:eastAsia="Times New Roman" w:hAnsi="Times New Roman" w:cs="Times New Roman"/>
          <w:sz w:val="24"/>
          <w:szCs w:val="24"/>
        </w:rPr>
        <w:t> in an unprecedented showing of federal, state, and local support that includes the Department of Education, The Department of Health and Human Services, the Institute of Museum and Library Services, the American Academy of Pediatrics, The Centers for Disease Control, the University of Chicago School of Medicine’s Thirty Million Words Initiative, The City of Providence, Georgia’s Talk with Me Baby, Scholastic Education, the George Kaiser Family Foundation, and many, many others.</w:t>
      </w:r>
    </w:p>
    <w:p w:rsidR="00104680" w:rsidRPr="00104680" w:rsidRDefault="00104680" w:rsidP="00104680">
      <w:pPr>
        <w:spacing w:after="0" w:line="240" w:lineRule="auto"/>
        <w:rPr>
          <w:rFonts w:ascii="Arial" w:eastAsia="Times New Roman" w:hAnsi="Arial" w:cs="Arial"/>
          <w:sz w:val="20"/>
          <w:szCs w:val="20"/>
        </w:rPr>
      </w:pPr>
      <w:bookmarkStart w:id="0" w:name="_GoBack"/>
      <w:bookmarkEnd w:id="0"/>
      <w:r>
        <w:rPr>
          <w:rFonts w:ascii="Arial" w:eastAsia="Times New Roman" w:hAnsi="Arial" w:cs="Arial"/>
          <w:noProof/>
          <w:color w:val="00598C"/>
          <w:sz w:val="20"/>
          <w:szCs w:val="20"/>
        </w:rPr>
        <w:drawing>
          <wp:inline distT="0" distB="0" distL="0" distR="0">
            <wp:extent cx="561340" cy="588645"/>
            <wp:effectExtent l="0" t="0" r="0" b="1905"/>
            <wp:docPr id="1" name="Picture 1" descr="http://cdn.theatlantic.com/static/newsroom/img/authors/l/jessica-lahey/headshot/author-headshot.png?mmdwe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atlantic.com/static/newsroom/img/authors/l/jessica-lahey/headshot/author-headshot.png?mmdwey">
                      <a:hlinkClick r:id="rId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340" cy="588645"/>
                    </a:xfrm>
                    <a:prstGeom prst="rect">
                      <a:avLst/>
                    </a:prstGeom>
                    <a:noFill/>
                    <a:ln>
                      <a:noFill/>
                    </a:ln>
                  </pic:spPr>
                </pic:pic>
              </a:graphicData>
            </a:graphic>
          </wp:inline>
        </w:drawing>
      </w:r>
    </w:p>
    <w:p w:rsidR="00104680" w:rsidRPr="00104680" w:rsidRDefault="00104680" w:rsidP="00104680">
      <w:pPr>
        <w:shd w:val="clear" w:color="auto" w:fill="FFFFFF"/>
        <w:spacing w:after="0" w:line="283" w:lineRule="atLeast"/>
        <w:rPr>
          <w:rFonts w:ascii="Arial" w:eastAsia="Times New Roman" w:hAnsi="Arial" w:cs="Arial"/>
          <w:color w:val="898989"/>
          <w:sz w:val="19"/>
          <w:szCs w:val="19"/>
        </w:rPr>
      </w:pPr>
      <w:hyperlink r:id="rId19" w:history="1">
        <w:r w:rsidRPr="00104680">
          <w:rPr>
            <w:rFonts w:ascii="Roboto" w:eastAsia="Times New Roman" w:hAnsi="Roboto" w:cs="Arial"/>
            <w:b/>
            <w:bCs/>
            <w:caps/>
            <w:color w:val="000000"/>
            <w:sz w:val="19"/>
            <w:szCs w:val="19"/>
          </w:rPr>
          <w:t>JESSICA LAHEY</w:t>
        </w:r>
      </w:hyperlink>
      <w:r w:rsidRPr="00104680">
        <w:rPr>
          <w:rFonts w:ascii="Arial" w:eastAsia="Times New Roman" w:hAnsi="Arial" w:cs="Arial"/>
          <w:color w:val="898989"/>
          <w:sz w:val="19"/>
          <w:szCs w:val="19"/>
        </w:rPr>
        <w:t> is a contributing writer for </w:t>
      </w:r>
      <w:r w:rsidRPr="00104680">
        <w:rPr>
          <w:rFonts w:ascii="Arial" w:eastAsia="Times New Roman" w:hAnsi="Arial" w:cs="Arial"/>
          <w:i/>
          <w:iCs/>
          <w:color w:val="898989"/>
          <w:sz w:val="19"/>
          <w:szCs w:val="19"/>
        </w:rPr>
        <w:t>The Atlantic</w:t>
      </w:r>
      <w:r w:rsidRPr="00104680">
        <w:rPr>
          <w:rFonts w:ascii="Arial" w:eastAsia="Times New Roman" w:hAnsi="Arial" w:cs="Arial"/>
          <w:color w:val="898989"/>
          <w:sz w:val="19"/>
          <w:szCs w:val="19"/>
        </w:rPr>
        <w:t> and an English, Latin, and writing teacher. She writes about education and parenting for </w:t>
      </w:r>
      <w:r w:rsidRPr="00104680">
        <w:rPr>
          <w:rFonts w:ascii="Arial" w:eastAsia="Times New Roman" w:hAnsi="Arial" w:cs="Arial"/>
          <w:i/>
          <w:iCs/>
          <w:color w:val="898989"/>
          <w:sz w:val="19"/>
          <w:szCs w:val="19"/>
        </w:rPr>
        <w:t>The New York Times</w:t>
      </w:r>
      <w:r w:rsidRPr="00104680">
        <w:rPr>
          <w:rFonts w:ascii="Arial" w:eastAsia="Times New Roman" w:hAnsi="Arial" w:cs="Arial"/>
          <w:color w:val="898989"/>
          <w:sz w:val="19"/>
          <w:szCs w:val="19"/>
        </w:rPr>
        <w:t> and on her site, </w:t>
      </w:r>
      <w:hyperlink r:id="rId20" w:history="1">
        <w:r w:rsidRPr="00104680">
          <w:rPr>
            <w:rFonts w:ascii="Arial" w:eastAsia="Times New Roman" w:hAnsi="Arial" w:cs="Arial"/>
            <w:i/>
            <w:iCs/>
            <w:color w:val="00598C"/>
            <w:sz w:val="19"/>
            <w:szCs w:val="19"/>
          </w:rPr>
          <w:t>Coming of Age in the Middle</w:t>
        </w:r>
      </w:hyperlink>
      <w:r w:rsidRPr="00104680">
        <w:rPr>
          <w:rFonts w:ascii="Arial" w:eastAsia="Times New Roman" w:hAnsi="Arial" w:cs="Arial"/>
          <w:i/>
          <w:iCs/>
          <w:color w:val="898989"/>
          <w:sz w:val="19"/>
          <w:szCs w:val="19"/>
        </w:rPr>
        <w:t>, </w:t>
      </w:r>
      <w:r w:rsidRPr="00104680">
        <w:rPr>
          <w:rFonts w:ascii="Arial" w:eastAsia="Times New Roman" w:hAnsi="Arial" w:cs="Arial"/>
          <w:color w:val="898989"/>
          <w:sz w:val="19"/>
          <w:szCs w:val="19"/>
        </w:rPr>
        <w:t>and is the author of the forthcoming book </w:t>
      </w:r>
      <w:hyperlink r:id="rId21" w:history="1">
        <w:r w:rsidRPr="00104680">
          <w:rPr>
            <w:rFonts w:ascii="Arial" w:eastAsia="Times New Roman" w:hAnsi="Arial" w:cs="Arial"/>
            <w:i/>
            <w:iCs/>
            <w:color w:val="00598C"/>
            <w:sz w:val="19"/>
            <w:szCs w:val="19"/>
          </w:rPr>
          <w:t>The Gift of Failure: How the Best Parents Learn to Let Go So Their Children Can Succeed</w:t>
        </w:r>
      </w:hyperlink>
      <w:r w:rsidRPr="00104680">
        <w:rPr>
          <w:rFonts w:ascii="Arial" w:eastAsia="Times New Roman" w:hAnsi="Arial" w:cs="Arial"/>
          <w:i/>
          <w:iCs/>
          <w:color w:val="898989"/>
          <w:sz w:val="19"/>
          <w:szCs w:val="19"/>
        </w:rPr>
        <w:t>.</w:t>
      </w:r>
    </w:p>
    <w:p w:rsidR="003F6593" w:rsidRDefault="003F6593"/>
    <w:sectPr w:rsidR="003F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4835"/>
    <w:multiLevelType w:val="multilevel"/>
    <w:tmpl w:val="BAD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67B24"/>
    <w:multiLevelType w:val="multilevel"/>
    <w:tmpl w:val="C6A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C6A6C"/>
    <w:multiLevelType w:val="multilevel"/>
    <w:tmpl w:val="181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80"/>
    <w:rsid w:val="00104680"/>
    <w:rsid w:val="003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80"/>
    <w:rPr>
      <w:rFonts w:ascii="Times New Roman" w:eastAsia="Times New Roman" w:hAnsi="Times New Roman" w:cs="Times New Roman"/>
      <w:b/>
      <w:bCs/>
      <w:kern w:val="36"/>
      <w:sz w:val="48"/>
      <w:szCs w:val="48"/>
    </w:rPr>
  </w:style>
  <w:style w:type="character" w:customStyle="1" w:styleId="authors">
    <w:name w:val="authors"/>
    <w:basedOn w:val="DefaultParagraphFont"/>
    <w:rsid w:val="00104680"/>
  </w:style>
  <w:style w:type="character" w:styleId="Hyperlink">
    <w:name w:val="Hyperlink"/>
    <w:basedOn w:val="DefaultParagraphFont"/>
    <w:uiPriority w:val="99"/>
    <w:semiHidden/>
    <w:unhideWhenUsed/>
    <w:rsid w:val="00104680"/>
    <w:rPr>
      <w:color w:val="0000FF"/>
      <w:u w:val="single"/>
    </w:rPr>
  </w:style>
  <w:style w:type="character" w:customStyle="1" w:styleId="date">
    <w:name w:val="date"/>
    <w:basedOn w:val="DefaultParagraphFont"/>
    <w:rsid w:val="00104680"/>
  </w:style>
  <w:style w:type="paragraph" w:styleId="NormalWeb">
    <w:name w:val="Normal (Web)"/>
    <w:basedOn w:val="Normal"/>
    <w:uiPriority w:val="99"/>
    <w:semiHidden/>
    <w:unhideWhenUsed/>
    <w:rsid w:val="0010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4680"/>
  </w:style>
  <w:style w:type="character" w:styleId="Emphasis">
    <w:name w:val="Emphasis"/>
    <w:basedOn w:val="DefaultParagraphFont"/>
    <w:uiPriority w:val="20"/>
    <w:qFormat/>
    <w:rsid w:val="00104680"/>
    <w:rPr>
      <w:i/>
      <w:iCs/>
    </w:rPr>
  </w:style>
  <w:style w:type="character" w:customStyle="1" w:styleId="current-page">
    <w:name w:val="current-page"/>
    <w:basedOn w:val="DefaultParagraphFont"/>
    <w:rsid w:val="00104680"/>
  </w:style>
  <w:style w:type="paragraph" w:customStyle="1" w:styleId="bio">
    <w:name w:val="bio"/>
    <w:basedOn w:val="Normal"/>
    <w:rsid w:val="0010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680"/>
    <w:rPr>
      <w:rFonts w:ascii="Times New Roman" w:eastAsia="Times New Roman" w:hAnsi="Times New Roman" w:cs="Times New Roman"/>
      <w:b/>
      <w:bCs/>
      <w:kern w:val="36"/>
      <w:sz w:val="48"/>
      <w:szCs w:val="48"/>
    </w:rPr>
  </w:style>
  <w:style w:type="character" w:customStyle="1" w:styleId="authors">
    <w:name w:val="authors"/>
    <w:basedOn w:val="DefaultParagraphFont"/>
    <w:rsid w:val="00104680"/>
  </w:style>
  <w:style w:type="character" w:styleId="Hyperlink">
    <w:name w:val="Hyperlink"/>
    <w:basedOn w:val="DefaultParagraphFont"/>
    <w:uiPriority w:val="99"/>
    <w:semiHidden/>
    <w:unhideWhenUsed/>
    <w:rsid w:val="00104680"/>
    <w:rPr>
      <w:color w:val="0000FF"/>
      <w:u w:val="single"/>
    </w:rPr>
  </w:style>
  <w:style w:type="character" w:customStyle="1" w:styleId="date">
    <w:name w:val="date"/>
    <w:basedOn w:val="DefaultParagraphFont"/>
    <w:rsid w:val="00104680"/>
  </w:style>
  <w:style w:type="paragraph" w:styleId="NormalWeb">
    <w:name w:val="Normal (Web)"/>
    <w:basedOn w:val="Normal"/>
    <w:uiPriority w:val="99"/>
    <w:semiHidden/>
    <w:unhideWhenUsed/>
    <w:rsid w:val="0010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4680"/>
  </w:style>
  <w:style w:type="character" w:styleId="Emphasis">
    <w:name w:val="Emphasis"/>
    <w:basedOn w:val="DefaultParagraphFont"/>
    <w:uiPriority w:val="20"/>
    <w:qFormat/>
    <w:rsid w:val="00104680"/>
    <w:rPr>
      <w:i/>
      <w:iCs/>
    </w:rPr>
  </w:style>
  <w:style w:type="character" w:customStyle="1" w:styleId="current-page">
    <w:name w:val="current-page"/>
    <w:basedOn w:val="DefaultParagraphFont"/>
    <w:rsid w:val="00104680"/>
  </w:style>
  <w:style w:type="paragraph" w:customStyle="1" w:styleId="bio">
    <w:name w:val="bio"/>
    <w:basedOn w:val="Normal"/>
    <w:rsid w:val="0010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4296">
      <w:bodyDiv w:val="1"/>
      <w:marLeft w:val="0"/>
      <w:marRight w:val="0"/>
      <w:marTop w:val="0"/>
      <w:marBottom w:val="0"/>
      <w:divBdr>
        <w:top w:val="none" w:sz="0" w:space="0" w:color="auto"/>
        <w:left w:val="none" w:sz="0" w:space="0" w:color="auto"/>
        <w:bottom w:val="none" w:sz="0" w:space="0" w:color="auto"/>
        <w:right w:val="none" w:sz="0" w:space="0" w:color="auto"/>
      </w:divBdr>
      <w:divsChild>
        <w:div w:id="408892516">
          <w:marLeft w:val="0"/>
          <w:marRight w:val="0"/>
          <w:marTop w:val="0"/>
          <w:marBottom w:val="0"/>
          <w:divBdr>
            <w:top w:val="none" w:sz="0" w:space="0" w:color="auto"/>
            <w:left w:val="none" w:sz="0" w:space="0" w:color="auto"/>
            <w:bottom w:val="none" w:sz="0" w:space="0" w:color="auto"/>
            <w:right w:val="none" w:sz="0" w:space="0" w:color="auto"/>
          </w:divBdr>
        </w:div>
        <w:div w:id="2051689219">
          <w:marLeft w:val="0"/>
          <w:marRight w:val="0"/>
          <w:marTop w:val="150"/>
          <w:marBottom w:val="315"/>
          <w:divBdr>
            <w:top w:val="none" w:sz="0" w:space="0" w:color="auto"/>
            <w:left w:val="none" w:sz="0" w:space="0" w:color="auto"/>
            <w:bottom w:val="none" w:sz="0" w:space="0" w:color="auto"/>
            <w:right w:val="none" w:sz="0" w:space="0" w:color="auto"/>
          </w:divBdr>
        </w:div>
        <w:div w:id="522668126">
          <w:marLeft w:val="0"/>
          <w:marRight w:val="0"/>
          <w:marTop w:val="0"/>
          <w:marBottom w:val="0"/>
          <w:divBdr>
            <w:top w:val="none" w:sz="0" w:space="0" w:color="auto"/>
            <w:left w:val="none" w:sz="0" w:space="0" w:color="auto"/>
            <w:bottom w:val="none" w:sz="0" w:space="0" w:color="auto"/>
            <w:right w:val="none" w:sz="0" w:space="0" w:color="auto"/>
          </w:divBdr>
          <w:divsChild>
            <w:div w:id="2050916116">
              <w:marLeft w:val="0"/>
              <w:marRight w:val="0"/>
              <w:marTop w:val="0"/>
              <w:marBottom w:val="0"/>
              <w:divBdr>
                <w:top w:val="none" w:sz="0" w:space="0" w:color="auto"/>
                <w:left w:val="none" w:sz="0" w:space="0" w:color="auto"/>
                <w:bottom w:val="none" w:sz="0" w:space="0" w:color="auto"/>
                <w:right w:val="none" w:sz="0" w:space="0" w:color="auto"/>
              </w:divBdr>
            </w:div>
            <w:div w:id="1102411599">
              <w:blockQuote w:val="1"/>
              <w:marLeft w:val="0"/>
              <w:marRight w:val="0"/>
              <w:marTop w:val="75"/>
              <w:marBottom w:val="150"/>
              <w:divBdr>
                <w:top w:val="none" w:sz="0" w:space="0" w:color="auto"/>
                <w:left w:val="none" w:sz="0" w:space="0" w:color="auto"/>
                <w:bottom w:val="none" w:sz="0" w:space="0" w:color="auto"/>
                <w:right w:val="none" w:sz="0" w:space="0" w:color="auto"/>
              </w:divBdr>
            </w:div>
            <w:div w:id="1368331119">
              <w:marLeft w:val="0"/>
              <w:marRight w:val="0"/>
              <w:marTop w:val="270"/>
              <w:marBottom w:val="0"/>
              <w:divBdr>
                <w:top w:val="single" w:sz="6" w:space="0" w:color="B7B7B7"/>
                <w:left w:val="none" w:sz="0" w:space="0" w:color="auto"/>
                <w:bottom w:val="single" w:sz="6" w:space="0" w:color="B7B7B7"/>
                <w:right w:val="none" w:sz="0" w:space="0" w:color="auto"/>
              </w:divBdr>
            </w:div>
          </w:divsChild>
        </w:div>
        <w:div w:id="365183943">
          <w:marLeft w:val="0"/>
          <w:marRight w:val="0"/>
          <w:marTop w:val="0"/>
          <w:marBottom w:val="0"/>
          <w:divBdr>
            <w:top w:val="none" w:sz="0" w:space="0" w:color="auto"/>
            <w:left w:val="none" w:sz="0" w:space="0" w:color="auto"/>
            <w:bottom w:val="none" w:sz="0" w:space="0" w:color="auto"/>
            <w:right w:val="none" w:sz="0" w:space="0" w:color="auto"/>
          </w:divBdr>
          <w:divsChild>
            <w:div w:id="1546063715">
              <w:marLeft w:val="0"/>
              <w:marRight w:val="0"/>
              <w:marTop w:val="300"/>
              <w:marBottom w:val="150"/>
              <w:divBdr>
                <w:top w:val="none" w:sz="0" w:space="0" w:color="auto"/>
                <w:left w:val="none" w:sz="0" w:space="0" w:color="auto"/>
                <w:bottom w:val="none" w:sz="0" w:space="0" w:color="auto"/>
                <w:right w:val="none" w:sz="0" w:space="0" w:color="auto"/>
              </w:divBdr>
            </w:div>
          </w:divsChild>
        </w:div>
        <w:div w:id="897741443">
          <w:marLeft w:val="0"/>
          <w:marRight w:val="0"/>
          <w:marTop w:val="180"/>
          <w:marBottom w:val="0"/>
          <w:divBdr>
            <w:top w:val="single" w:sz="6" w:space="11" w:color="EBEBEB"/>
            <w:left w:val="none" w:sz="0" w:space="0" w:color="auto"/>
            <w:bottom w:val="none" w:sz="0" w:space="0" w:color="auto"/>
            <w:right w:val="none" w:sz="0" w:space="0" w:color="auto"/>
          </w:divBdr>
          <w:divsChild>
            <w:div w:id="218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media/research/files/papers/2012/3/19%20school%20disadvantage%20isaacs/0319_school_disadvantage_isaacs.pdf" TargetMode="External"/><Relationship Id="rId13" Type="http://schemas.openxmlformats.org/officeDocument/2006/relationships/hyperlink" Target="http://www.clintonfoundation.org/files/2s2f_framingreport_v2r3.pdf"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amazon.com/The-Gift-Failure-Parents-Children/dp/0062299239" TargetMode="External"/><Relationship Id="rId7" Type="http://schemas.openxmlformats.org/officeDocument/2006/relationships/image" Target="media/image1.jpeg"/><Relationship Id="rId12" Type="http://schemas.openxmlformats.org/officeDocument/2006/relationships/hyperlink" Target="http://www.nber.org/papers/w19144.pdf?new_window=1" TargetMode="External"/><Relationship Id="rId17" Type="http://schemas.openxmlformats.org/officeDocument/2006/relationships/hyperlink" Target="http://www.urban.org/" TargetMode="External"/><Relationship Id="rId2" Type="http://schemas.openxmlformats.org/officeDocument/2006/relationships/styles" Target="styles.xml"/><Relationship Id="rId16" Type="http://schemas.openxmlformats.org/officeDocument/2006/relationships/hyperlink" Target="http://www.whitehouse.gov/blog/2014/06/25/empowering-our-children-bridging-word-gap" TargetMode="External"/><Relationship Id="rId20" Type="http://schemas.openxmlformats.org/officeDocument/2006/relationships/hyperlink" Target="http://comingofageinthemiddle.blogspot.com/" TargetMode="External"/><Relationship Id="rId1" Type="http://schemas.openxmlformats.org/officeDocument/2006/relationships/numbering" Target="numbering.xml"/><Relationship Id="rId6" Type="http://schemas.openxmlformats.org/officeDocument/2006/relationships/hyperlink" Target="http://www.theatlantic.com/jessica-lahey/" TargetMode="External"/><Relationship Id="rId11" Type="http://schemas.openxmlformats.org/officeDocument/2006/relationships/hyperlink" Target="http://thenextgeneration.org/" TargetMode="External"/><Relationship Id="rId5" Type="http://schemas.openxmlformats.org/officeDocument/2006/relationships/webSettings" Target="webSettings.xml"/><Relationship Id="rId15" Type="http://schemas.openxmlformats.org/officeDocument/2006/relationships/hyperlink" Target="http://thenextgeneration.org/" TargetMode="External"/><Relationship Id="rId23" Type="http://schemas.openxmlformats.org/officeDocument/2006/relationships/theme" Target="theme/theme1.xml"/><Relationship Id="rId10" Type="http://schemas.openxmlformats.org/officeDocument/2006/relationships/hyperlink" Target="http://thenextgeneration.org/about/people/ann-oleary" TargetMode="External"/><Relationship Id="rId19" Type="http://schemas.openxmlformats.org/officeDocument/2006/relationships/hyperlink" Target="http://www.theatlantic.com/jessica-lahey/" TargetMode="External"/><Relationship Id="rId4" Type="http://schemas.openxmlformats.org/officeDocument/2006/relationships/settings" Target="settings.xml"/><Relationship Id="rId9" Type="http://schemas.openxmlformats.org/officeDocument/2006/relationships/hyperlink" Target="http://www.hks.harvard.edu/saguaro/pdfs/aspen_July%2010.pdf" TargetMode="External"/><Relationship Id="rId14" Type="http://schemas.openxmlformats.org/officeDocument/2006/relationships/hyperlink" Target="https://www.clintonfound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Company>Hewlett-Packard Company</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,Karen</dc:creator>
  <cp:lastModifiedBy>Wicks ,Karen</cp:lastModifiedBy>
  <cp:revision>1</cp:revision>
  <dcterms:created xsi:type="dcterms:W3CDTF">2014-10-17T15:54:00Z</dcterms:created>
  <dcterms:modified xsi:type="dcterms:W3CDTF">2014-10-17T15:55:00Z</dcterms:modified>
</cp:coreProperties>
</file>